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3A" w:rsidRDefault="005A753A" w:rsidP="00CE1C8D">
      <w:pPr>
        <w:jc w:val="both"/>
        <w:rPr>
          <w:sz w:val="20"/>
          <w:szCs w:val="20"/>
        </w:rPr>
      </w:pPr>
      <w:r>
        <w:rPr>
          <w:rFonts w:cs="Arial"/>
          <w:noProof/>
          <w:lang w:val="en-US"/>
        </w:rPr>
        <w:drawing>
          <wp:inline distT="0" distB="0" distL="0" distR="0" wp14:anchorId="3EA35348" wp14:editId="1ABED065">
            <wp:extent cx="2295525" cy="6383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132" cy="64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53A" w:rsidRDefault="005A753A" w:rsidP="00CE1C8D">
      <w:pPr>
        <w:jc w:val="both"/>
        <w:rPr>
          <w:sz w:val="20"/>
          <w:szCs w:val="20"/>
        </w:rPr>
      </w:pPr>
    </w:p>
    <w:p w:rsidR="001025F6" w:rsidRDefault="00550F5A" w:rsidP="00CE1C8D">
      <w:pPr>
        <w:jc w:val="both"/>
        <w:rPr>
          <w:sz w:val="20"/>
          <w:szCs w:val="20"/>
        </w:rPr>
      </w:pPr>
      <w:r>
        <w:rPr>
          <w:sz w:val="20"/>
          <w:szCs w:val="20"/>
        </w:rPr>
        <w:t>JCST Course List in Plastic Surgery</w:t>
      </w:r>
    </w:p>
    <w:p w:rsidR="00BA5879" w:rsidRDefault="00550F5A" w:rsidP="00CE1C8D">
      <w:pPr>
        <w:jc w:val="both"/>
        <w:rPr>
          <w:sz w:val="20"/>
          <w:szCs w:val="20"/>
        </w:rPr>
      </w:pPr>
      <w:r>
        <w:rPr>
          <w:sz w:val="20"/>
          <w:szCs w:val="20"/>
        </w:rPr>
        <w:t>The JCST and SAC in Plastic Surgery</w:t>
      </w:r>
      <w:r w:rsidR="00ED6DED" w:rsidRPr="00ED6DED">
        <w:rPr>
          <w:sz w:val="20"/>
          <w:szCs w:val="20"/>
        </w:rPr>
        <w:t xml:space="preserve"> consider that some knowledge and capabilities </w:t>
      </w:r>
      <w:r w:rsidR="00F539D1" w:rsidRPr="00ED6DED">
        <w:rPr>
          <w:sz w:val="20"/>
          <w:szCs w:val="20"/>
        </w:rPr>
        <w:t xml:space="preserve">are best </w:t>
      </w:r>
      <w:r w:rsidR="005B2E16">
        <w:rPr>
          <w:sz w:val="20"/>
          <w:szCs w:val="20"/>
        </w:rPr>
        <w:t>gained</w:t>
      </w:r>
      <w:r w:rsidR="00F539D1" w:rsidRPr="00ED6DED">
        <w:rPr>
          <w:sz w:val="20"/>
          <w:szCs w:val="20"/>
        </w:rPr>
        <w:t xml:space="preserve"> in the formal setting of a taught course. These areas are listed below</w:t>
      </w:r>
      <w:r w:rsidR="005B2E16">
        <w:rPr>
          <w:sz w:val="20"/>
          <w:szCs w:val="20"/>
        </w:rPr>
        <w:t>.</w:t>
      </w:r>
      <w:r w:rsidR="00F539D1" w:rsidRPr="00ED6DED">
        <w:rPr>
          <w:sz w:val="20"/>
          <w:szCs w:val="20"/>
        </w:rPr>
        <w:t xml:space="preserve"> </w:t>
      </w:r>
    </w:p>
    <w:p w:rsidR="00BA5879" w:rsidRDefault="00BA5879" w:rsidP="00CE1C8D">
      <w:pPr>
        <w:jc w:val="both"/>
        <w:rPr>
          <w:sz w:val="20"/>
          <w:szCs w:val="20"/>
        </w:rPr>
      </w:pPr>
    </w:p>
    <w:p w:rsidR="00BA5879" w:rsidRDefault="005B2E16" w:rsidP="00CE1C8D">
      <w:p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F539D1" w:rsidRPr="00ED6DED">
        <w:rPr>
          <w:sz w:val="20"/>
          <w:szCs w:val="20"/>
        </w:rPr>
        <w:t xml:space="preserve">he classification employed by Health Education England </w:t>
      </w:r>
      <w:r w:rsidR="00CE1C8D">
        <w:rPr>
          <w:sz w:val="20"/>
          <w:szCs w:val="20"/>
        </w:rPr>
        <w:t xml:space="preserve">(HEE) </w:t>
      </w:r>
      <w:r w:rsidR="00F539D1" w:rsidRPr="00ED6DED">
        <w:rPr>
          <w:sz w:val="20"/>
          <w:szCs w:val="20"/>
        </w:rPr>
        <w:t>for determining study leave</w:t>
      </w:r>
      <w:r>
        <w:rPr>
          <w:sz w:val="20"/>
          <w:szCs w:val="20"/>
        </w:rPr>
        <w:t xml:space="preserve"> is used to categorise these capabilities</w:t>
      </w:r>
      <w:r w:rsidR="00BA5879">
        <w:rPr>
          <w:sz w:val="20"/>
          <w:szCs w:val="20"/>
        </w:rPr>
        <w:t>, with the expectation that courses listed in the “Mandated” and “Optional” sections will be funded through study leave</w:t>
      </w:r>
      <w:r w:rsidR="00F539D1" w:rsidRPr="00ED6DED">
        <w:rPr>
          <w:sz w:val="20"/>
          <w:szCs w:val="20"/>
        </w:rPr>
        <w:t xml:space="preserve">. </w:t>
      </w:r>
    </w:p>
    <w:p w:rsidR="00BA5879" w:rsidRDefault="00BA5879" w:rsidP="00CE1C8D">
      <w:pPr>
        <w:jc w:val="both"/>
        <w:rPr>
          <w:sz w:val="20"/>
          <w:szCs w:val="20"/>
        </w:rPr>
      </w:pPr>
    </w:p>
    <w:p w:rsidR="00BE4941" w:rsidRPr="00ED6DED" w:rsidRDefault="00F539D1" w:rsidP="00CE1C8D">
      <w:pPr>
        <w:jc w:val="both"/>
        <w:rPr>
          <w:sz w:val="20"/>
          <w:szCs w:val="20"/>
        </w:rPr>
      </w:pPr>
      <w:r w:rsidRPr="00ED6DED">
        <w:rPr>
          <w:sz w:val="20"/>
          <w:szCs w:val="20"/>
        </w:rPr>
        <w:t xml:space="preserve">The devolved nations have different arrangements for study leave funding, but we hope this list will help guide trainees and trainers across the UK to deliver </w:t>
      </w:r>
      <w:r w:rsidR="00ED6DED" w:rsidRPr="00ED6DED">
        <w:rPr>
          <w:sz w:val="20"/>
          <w:szCs w:val="20"/>
        </w:rPr>
        <w:t xml:space="preserve">training across </w:t>
      </w:r>
      <w:r w:rsidRPr="00ED6DED">
        <w:rPr>
          <w:sz w:val="20"/>
          <w:szCs w:val="20"/>
        </w:rPr>
        <w:t>the breadth of the specialty.</w:t>
      </w:r>
      <w:r w:rsidR="0026088C">
        <w:rPr>
          <w:sz w:val="20"/>
          <w:szCs w:val="20"/>
        </w:rPr>
        <w:t xml:space="preserve"> Arrangements will also be different in Ireland.</w:t>
      </w:r>
    </w:p>
    <w:p w:rsidR="00F539D1" w:rsidRPr="00ED6DED" w:rsidRDefault="00F539D1">
      <w:pPr>
        <w:rPr>
          <w:sz w:val="20"/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093"/>
        <w:gridCol w:w="142"/>
        <w:gridCol w:w="2126"/>
        <w:gridCol w:w="142"/>
        <w:gridCol w:w="2126"/>
        <w:gridCol w:w="142"/>
        <w:gridCol w:w="2835"/>
      </w:tblGrid>
      <w:tr w:rsidR="005B2E16" w:rsidRPr="00ED6DED" w:rsidTr="00CE1C8D">
        <w:tc>
          <w:tcPr>
            <w:tcW w:w="9606" w:type="dxa"/>
            <w:gridSpan w:val="7"/>
            <w:shd w:val="clear" w:color="auto" w:fill="F2F2F2" w:themeFill="background1" w:themeFillShade="F2"/>
          </w:tcPr>
          <w:p w:rsidR="005B2E16" w:rsidRPr="00CE1C8D" w:rsidRDefault="00550F5A" w:rsidP="00F53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Plastic Surgery</w:t>
            </w:r>
          </w:p>
        </w:tc>
      </w:tr>
      <w:tr w:rsidR="005B2E16" w:rsidRPr="00ED6DED" w:rsidTr="00CE1C8D">
        <w:tc>
          <w:tcPr>
            <w:tcW w:w="9606" w:type="dxa"/>
            <w:gridSpan w:val="7"/>
            <w:shd w:val="clear" w:color="auto" w:fill="F2F2F2" w:themeFill="background1" w:themeFillShade="F2"/>
          </w:tcPr>
          <w:p w:rsidR="005B2E16" w:rsidRPr="00CE1C8D" w:rsidRDefault="005B2E16" w:rsidP="00F539D1">
            <w:pPr>
              <w:jc w:val="center"/>
              <w:rPr>
                <w:b/>
                <w:sz w:val="20"/>
                <w:szCs w:val="20"/>
              </w:rPr>
            </w:pPr>
            <w:r w:rsidRPr="00CE1C8D">
              <w:rPr>
                <w:b/>
                <w:sz w:val="20"/>
                <w:szCs w:val="20"/>
              </w:rPr>
              <w:t xml:space="preserve">Mandated Courses </w:t>
            </w:r>
          </w:p>
        </w:tc>
      </w:tr>
      <w:tr w:rsidR="005B2E16" w:rsidRPr="00ED6DED" w:rsidTr="00CE1C8D">
        <w:tc>
          <w:tcPr>
            <w:tcW w:w="2235" w:type="dxa"/>
            <w:gridSpan w:val="2"/>
            <w:shd w:val="clear" w:color="auto" w:fill="F2F2F2" w:themeFill="background1" w:themeFillShade="F2"/>
          </w:tcPr>
          <w:p w:rsidR="005B2E16" w:rsidRPr="00CE1C8D" w:rsidRDefault="005B2E16" w:rsidP="00F539D1">
            <w:pPr>
              <w:jc w:val="center"/>
              <w:rPr>
                <w:b/>
                <w:sz w:val="20"/>
                <w:szCs w:val="20"/>
              </w:rPr>
            </w:pPr>
            <w:r w:rsidRPr="00CE1C8D">
              <w:rPr>
                <w:b/>
                <w:sz w:val="20"/>
                <w:szCs w:val="20"/>
              </w:rPr>
              <w:t>Syllabus area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5B2E16" w:rsidRPr="00CE1C8D" w:rsidRDefault="005B2E16" w:rsidP="00F539D1">
            <w:pPr>
              <w:jc w:val="center"/>
              <w:rPr>
                <w:b/>
                <w:sz w:val="20"/>
                <w:szCs w:val="20"/>
              </w:rPr>
            </w:pPr>
            <w:r w:rsidRPr="00CE1C8D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5B2E16" w:rsidRPr="00CE1C8D" w:rsidRDefault="005B2E16" w:rsidP="00F539D1">
            <w:pPr>
              <w:jc w:val="center"/>
              <w:rPr>
                <w:b/>
                <w:sz w:val="20"/>
                <w:szCs w:val="20"/>
              </w:rPr>
            </w:pPr>
            <w:r w:rsidRPr="00CE1C8D"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B2E16" w:rsidRPr="00CE1C8D" w:rsidRDefault="005B2E16" w:rsidP="00F539D1">
            <w:pPr>
              <w:jc w:val="center"/>
              <w:rPr>
                <w:b/>
                <w:sz w:val="20"/>
                <w:szCs w:val="20"/>
              </w:rPr>
            </w:pPr>
            <w:r w:rsidRPr="00CE1C8D">
              <w:rPr>
                <w:b/>
                <w:sz w:val="20"/>
                <w:szCs w:val="20"/>
              </w:rPr>
              <w:t>Curriculum Mapping</w:t>
            </w:r>
          </w:p>
        </w:tc>
      </w:tr>
      <w:tr w:rsidR="005B2E16" w:rsidRPr="00ED6DED" w:rsidTr="00CE1C8D">
        <w:tc>
          <w:tcPr>
            <w:tcW w:w="2235" w:type="dxa"/>
            <w:gridSpan w:val="2"/>
            <w:vAlign w:val="center"/>
          </w:tcPr>
          <w:p w:rsidR="005B2E16" w:rsidRPr="00ED6DED" w:rsidRDefault="005B2E16" w:rsidP="00D00035">
            <w:pPr>
              <w:rPr>
                <w:sz w:val="20"/>
                <w:szCs w:val="20"/>
              </w:rPr>
            </w:pPr>
            <w:r w:rsidRPr="00ED6DED">
              <w:rPr>
                <w:sz w:val="20"/>
                <w:szCs w:val="20"/>
              </w:rPr>
              <w:t>Educational induction into specialty</w:t>
            </w:r>
          </w:p>
        </w:tc>
        <w:tc>
          <w:tcPr>
            <w:tcW w:w="2268" w:type="dxa"/>
            <w:gridSpan w:val="2"/>
            <w:vAlign w:val="center"/>
          </w:tcPr>
          <w:p w:rsidR="005B2E16" w:rsidRPr="00ED6DED" w:rsidRDefault="005B2E16" w:rsidP="00D000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B2E16" w:rsidRPr="00ED6DED" w:rsidRDefault="005B2E16" w:rsidP="00D0003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B2E16" w:rsidRPr="00ED6DED" w:rsidRDefault="005B2E16" w:rsidP="00D00035">
            <w:pPr>
              <w:rPr>
                <w:sz w:val="20"/>
                <w:szCs w:val="20"/>
              </w:rPr>
            </w:pPr>
          </w:p>
        </w:tc>
      </w:tr>
      <w:tr w:rsidR="00D00035" w:rsidRPr="00ED6DED" w:rsidTr="00CE1C8D">
        <w:tc>
          <w:tcPr>
            <w:tcW w:w="2235" w:type="dxa"/>
            <w:gridSpan w:val="2"/>
            <w:vMerge w:val="restart"/>
            <w:vAlign w:val="center"/>
          </w:tcPr>
          <w:p w:rsidR="00D00035" w:rsidRPr="00ED6DED" w:rsidRDefault="00D00035" w:rsidP="00D00035">
            <w:pPr>
              <w:rPr>
                <w:sz w:val="20"/>
                <w:szCs w:val="20"/>
              </w:rPr>
            </w:pPr>
            <w:r w:rsidRPr="00ED6DED">
              <w:rPr>
                <w:sz w:val="20"/>
                <w:szCs w:val="20"/>
              </w:rPr>
              <w:t>Trauma and life support</w:t>
            </w:r>
          </w:p>
        </w:tc>
        <w:tc>
          <w:tcPr>
            <w:tcW w:w="2268" w:type="dxa"/>
            <w:gridSpan w:val="2"/>
            <w:vAlign w:val="center"/>
          </w:tcPr>
          <w:p w:rsidR="00D00035" w:rsidRPr="00ED6DED" w:rsidRDefault="00D00035" w:rsidP="00D00035">
            <w:pPr>
              <w:rPr>
                <w:sz w:val="20"/>
                <w:szCs w:val="20"/>
              </w:rPr>
            </w:pPr>
            <w:r w:rsidRPr="00ED6DED">
              <w:rPr>
                <w:sz w:val="20"/>
                <w:szCs w:val="20"/>
              </w:rPr>
              <w:t>ATLS or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00035" w:rsidRPr="00ED6DED" w:rsidRDefault="001025F6" w:rsidP="00D00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Specialty to determine</w:t>
            </w:r>
          </w:p>
        </w:tc>
        <w:tc>
          <w:tcPr>
            <w:tcW w:w="2835" w:type="dxa"/>
            <w:vMerge w:val="restart"/>
            <w:vAlign w:val="center"/>
          </w:tcPr>
          <w:p w:rsidR="00D00035" w:rsidRPr="00ED6DED" w:rsidRDefault="00D00035" w:rsidP="00D000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</w:t>
            </w:r>
            <w:proofErr w:type="spellEnd"/>
            <w:r>
              <w:rPr>
                <w:sz w:val="20"/>
                <w:szCs w:val="20"/>
              </w:rPr>
              <w:t>: Emergency Care</w:t>
            </w:r>
          </w:p>
        </w:tc>
      </w:tr>
      <w:tr w:rsidR="00D00035" w:rsidRPr="00ED6DED" w:rsidTr="00CE1C8D">
        <w:tc>
          <w:tcPr>
            <w:tcW w:w="2235" w:type="dxa"/>
            <w:gridSpan w:val="2"/>
            <w:vMerge/>
            <w:vAlign w:val="center"/>
          </w:tcPr>
          <w:p w:rsidR="00D00035" w:rsidRPr="00ED6DED" w:rsidRDefault="00D00035" w:rsidP="00D000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0035" w:rsidRPr="00ED6DED" w:rsidRDefault="00D00035" w:rsidP="00D00035">
            <w:pPr>
              <w:rPr>
                <w:sz w:val="20"/>
                <w:szCs w:val="20"/>
              </w:rPr>
            </w:pPr>
            <w:r w:rsidRPr="00ED6DED">
              <w:rPr>
                <w:sz w:val="20"/>
                <w:szCs w:val="20"/>
              </w:rPr>
              <w:t>European trauma course or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00035" w:rsidRPr="00ED6DED" w:rsidRDefault="00D00035" w:rsidP="00D0003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00035" w:rsidRPr="00ED6DED" w:rsidRDefault="00D00035" w:rsidP="00D00035">
            <w:pPr>
              <w:rPr>
                <w:sz w:val="20"/>
                <w:szCs w:val="20"/>
              </w:rPr>
            </w:pPr>
          </w:p>
        </w:tc>
      </w:tr>
      <w:tr w:rsidR="00D00035" w:rsidRPr="00ED6DED" w:rsidTr="00CE1C8D">
        <w:tc>
          <w:tcPr>
            <w:tcW w:w="2235" w:type="dxa"/>
            <w:gridSpan w:val="2"/>
            <w:vMerge/>
            <w:vAlign w:val="center"/>
          </w:tcPr>
          <w:p w:rsidR="00D00035" w:rsidRPr="00ED6DED" w:rsidRDefault="00D00035" w:rsidP="00D000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0035" w:rsidRPr="00ED6DED" w:rsidRDefault="00D00035" w:rsidP="00D00035">
            <w:pPr>
              <w:rPr>
                <w:sz w:val="20"/>
                <w:szCs w:val="20"/>
              </w:rPr>
            </w:pPr>
            <w:r w:rsidRPr="00ED6DED">
              <w:rPr>
                <w:sz w:val="20"/>
                <w:szCs w:val="20"/>
              </w:rPr>
              <w:t>DSTS/DSTC/DCOTS or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00035" w:rsidRPr="00ED6DED" w:rsidRDefault="00D00035" w:rsidP="00D0003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00035" w:rsidRPr="00ED6DED" w:rsidRDefault="00D00035" w:rsidP="00D00035">
            <w:pPr>
              <w:rPr>
                <w:sz w:val="20"/>
                <w:szCs w:val="20"/>
              </w:rPr>
            </w:pPr>
          </w:p>
        </w:tc>
      </w:tr>
      <w:tr w:rsidR="00D00035" w:rsidRPr="00ED6DED" w:rsidTr="00CE1C8D">
        <w:tc>
          <w:tcPr>
            <w:tcW w:w="2235" w:type="dxa"/>
            <w:gridSpan w:val="2"/>
            <w:vMerge/>
            <w:vAlign w:val="center"/>
          </w:tcPr>
          <w:p w:rsidR="00D00035" w:rsidRPr="00ED6DED" w:rsidRDefault="00D00035" w:rsidP="00D000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0035" w:rsidRPr="00ED6DED" w:rsidRDefault="00D00035" w:rsidP="00D00035">
            <w:pPr>
              <w:rPr>
                <w:sz w:val="20"/>
                <w:szCs w:val="20"/>
              </w:rPr>
            </w:pPr>
            <w:r w:rsidRPr="00ED6DED">
              <w:rPr>
                <w:sz w:val="20"/>
                <w:szCs w:val="20"/>
              </w:rPr>
              <w:t>APLS/PILS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00035" w:rsidRPr="00ED6DED" w:rsidRDefault="00D00035" w:rsidP="00D0003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00035" w:rsidRPr="00ED6DED" w:rsidRDefault="00D00035" w:rsidP="00D00035">
            <w:pPr>
              <w:rPr>
                <w:sz w:val="20"/>
                <w:szCs w:val="20"/>
              </w:rPr>
            </w:pPr>
          </w:p>
        </w:tc>
      </w:tr>
      <w:tr w:rsidR="005B2E16" w:rsidRPr="00ED6DED" w:rsidTr="00CE1C8D">
        <w:tc>
          <w:tcPr>
            <w:tcW w:w="2235" w:type="dxa"/>
            <w:gridSpan w:val="2"/>
            <w:vAlign w:val="center"/>
          </w:tcPr>
          <w:p w:rsidR="005B2E16" w:rsidRPr="00ED6DED" w:rsidRDefault="005B2E16" w:rsidP="00D00035">
            <w:pPr>
              <w:rPr>
                <w:sz w:val="20"/>
                <w:szCs w:val="20"/>
              </w:rPr>
            </w:pPr>
            <w:r w:rsidRPr="00ED6DED">
              <w:rPr>
                <w:sz w:val="20"/>
                <w:szCs w:val="20"/>
              </w:rPr>
              <w:t>Research</w:t>
            </w:r>
          </w:p>
        </w:tc>
        <w:tc>
          <w:tcPr>
            <w:tcW w:w="2268" w:type="dxa"/>
            <w:gridSpan w:val="2"/>
            <w:vAlign w:val="center"/>
          </w:tcPr>
          <w:p w:rsidR="005B2E16" w:rsidRPr="00ED6DED" w:rsidRDefault="005B2E16" w:rsidP="00D00035">
            <w:pPr>
              <w:rPr>
                <w:sz w:val="20"/>
                <w:szCs w:val="20"/>
              </w:rPr>
            </w:pPr>
            <w:r w:rsidRPr="00ED6DED">
              <w:rPr>
                <w:sz w:val="20"/>
                <w:szCs w:val="20"/>
              </w:rPr>
              <w:t>Good Clinical Practice</w:t>
            </w:r>
          </w:p>
        </w:tc>
        <w:tc>
          <w:tcPr>
            <w:tcW w:w="2268" w:type="dxa"/>
            <w:gridSpan w:val="2"/>
            <w:vAlign w:val="center"/>
          </w:tcPr>
          <w:p w:rsidR="005B2E16" w:rsidRPr="00ED6DED" w:rsidRDefault="005B2E16" w:rsidP="00D0003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B2E16" w:rsidRDefault="005B2E16" w:rsidP="00D000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</w:t>
            </w:r>
            <w:proofErr w:type="spellEnd"/>
            <w:r>
              <w:rPr>
                <w:sz w:val="20"/>
                <w:szCs w:val="20"/>
              </w:rPr>
              <w:t>: Assessing research</w:t>
            </w:r>
          </w:p>
          <w:p w:rsidR="005B2E16" w:rsidRPr="00ED6DED" w:rsidRDefault="005B2E16" w:rsidP="00D00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GPC: Research and scholarship</w:t>
            </w:r>
          </w:p>
        </w:tc>
      </w:tr>
      <w:tr w:rsidR="005B2E16" w:rsidRPr="00ED6DED" w:rsidTr="00CE1C8D">
        <w:tc>
          <w:tcPr>
            <w:tcW w:w="2235" w:type="dxa"/>
            <w:gridSpan w:val="2"/>
            <w:vAlign w:val="center"/>
          </w:tcPr>
          <w:p w:rsidR="005B2E16" w:rsidRPr="00ED6DED" w:rsidRDefault="005B2E16" w:rsidP="00D00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2268" w:type="dxa"/>
            <w:gridSpan w:val="2"/>
            <w:vAlign w:val="center"/>
          </w:tcPr>
          <w:p w:rsidR="005B2E16" w:rsidRPr="00ED6DED" w:rsidRDefault="00C912A9" w:rsidP="00D00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/ </w:t>
            </w:r>
            <w:r w:rsidR="006B7DC2">
              <w:rPr>
                <w:sz w:val="20"/>
                <w:szCs w:val="20"/>
              </w:rPr>
              <w:t>Surgical education course</w:t>
            </w:r>
          </w:p>
        </w:tc>
        <w:tc>
          <w:tcPr>
            <w:tcW w:w="2268" w:type="dxa"/>
            <w:gridSpan w:val="2"/>
            <w:vAlign w:val="center"/>
          </w:tcPr>
          <w:p w:rsidR="006B7DC2" w:rsidRDefault="006B7DC2" w:rsidP="00D00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Covering educational theory underpinning adult learning, application to surgery, teaching methods, assessment principles</w:t>
            </w:r>
          </w:p>
          <w:p w:rsidR="005B2E16" w:rsidRPr="00ED6DED" w:rsidRDefault="00C912A9" w:rsidP="006B7D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6B7DC2">
              <w:rPr>
                <w:sz w:val="20"/>
                <w:szCs w:val="20"/>
              </w:rPr>
              <w:t>g</w:t>
            </w:r>
            <w:proofErr w:type="spellEnd"/>
            <w:r w:rsidR="006B7DC2">
              <w:rPr>
                <w:sz w:val="20"/>
                <w:szCs w:val="20"/>
              </w:rPr>
              <w:t xml:space="preserve"> Training the Trainers </w:t>
            </w:r>
          </w:p>
        </w:tc>
        <w:tc>
          <w:tcPr>
            <w:tcW w:w="2835" w:type="dxa"/>
            <w:vAlign w:val="center"/>
          </w:tcPr>
          <w:p w:rsidR="005B2E16" w:rsidRDefault="005B2E16" w:rsidP="00D000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</w:t>
            </w:r>
            <w:proofErr w:type="spellEnd"/>
            <w:r>
              <w:rPr>
                <w:sz w:val="20"/>
                <w:szCs w:val="20"/>
              </w:rPr>
              <w:t>: Supervising clinician</w:t>
            </w:r>
          </w:p>
          <w:p w:rsidR="005B2E16" w:rsidRPr="00ED6DED" w:rsidRDefault="005B2E16" w:rsidP="00D00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GPC: Education and training</w:t>
            </w:r>
          </w:p>
        </w:tc>
      </w:tr>
      <w:tr w:rsidR="005B2E16" w:rsidRPr="00ED6DED" w:rsidTr="00CE1C8D">
        <w:tc>
          <w:tcPr>
            <w:tcW w:w="2235" w:type="dxa"/>
            <w:gridSpan w:val="2"/>
            <w:vAlign w:val="center"/>
          </w:tcPr>
          <w:p w:rsidR="005B2E16" w:rsidRPr="00ED6DED" w:rsidRDefault="005B2E16" w:rsidP="00D00035">
            <w:pPr>
              <w:rPr>
                <w:sz w:val="20"/>
                <w:szCs w:val="20"/>
              </w:rPr>
            </w:pPr>
            <w:r w:rsidRPr="00ED6DED">
              <w:rPr>
                <w:sz w:val="20"/>
                <w:szCs w:val="20"/>
              </w:rPr>
              <w:t xml:space="preserve">Health </w:t>
            </w:r>
            <w:r>
              <w:rPr>
                <w:sz w:val="20"/>
                <w:szCs w:val="20"/>
              </w:rPr>
              <w:t>s</w:t>
            </w:r>
            <w:r w:rsidRPr="00ED6DED">
              <w:rPr>
                <w:sz w:val="20"/>
                <w:szCs w:val="20"/>
              </w:rPr>
              <w:t>ervice</w:t>
            </w:r>
            <w:r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2268" w:type="dxa"/>
            <w:gridSpan w:val="2"/>
            <w:vAlign w:val="center"/>
          </w:tcPr>
          <w:p w:rsidR="005B2E16" w:rsidRPr="00ED6DED" w:rsidRDefault="005B2E16" w:rsidP="00D00035">
            <w:pPr>
              <w:rPr>
                <w:sz w:val="20"/>
                <w:szCs w:val="20"/>
              </w:rPr>
            </w:pPr>
            <w:r w:rsidRPr="00ED6DED">
              <w:rPr>
                <w:sz w:val="20"/>
                <w:szCs w:val="20"/>
              </w:rPr>
              <w:t>Health service management course</w:t>
            </w:r>
          </w:p>
        </w:tc>
        <w:tc>
          <w:tcPr>
            <w:tcW w:w="2268" w:type="dxa"/>
            <w:gridSpan w:val="2"/>
            <w:vAlign w:val="center"/>
          </w:tcPr>
          <w:p w:rsidR="005B2E16" w:rsidRPr="00ED6DED" w:rsidRDefault="005B2E16" w:rsidP="00D0003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B2E16" w:rsidRDefault="005B2E16" w:rsidP="00D000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</w:t>
            </w:r>
            <w:proofErr w:type="spellEnd"/>
            <w:r>
              <w:rPr>
                <w:sz w:val="20"/>
                <w:szCs w:val="20"/>
              </w:rPr>
              <w:t>: Working in the Health Service</w:t>
            </w:r>
          </w:p>
          <w:p w:rsidR="005B2E16" w:rsidRPr="00ED6DED" w:rsidRDefault="005B2E16" w:rsidP="00D000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GPC:Professional</w:t>
            </w:r>
            <w:proofErr w:type="spellEnd"/>
            <w:r>
              <w:rPr>
                <w:sz w:val="20"/>
                <w:szCs w:val="20"/>
              </w:rPr>
              <w:t xml:space="preserve"> knowledge and Professional skills</w:t>
            </w:r>
          </w:p>
        </w:tc>
      </w:tr>
      <w:tr w:rsidR="005B2E16" w:rsidRPr="00ED6DED" w:rsidTr="00550F5A">
        <w:tc>
          <w:tcPr>
            <w:tcW w:w="2235" w:type="dxa"/>
            <w:gridSpan w:val="2"/>
            <w:shd w:val="clear" w:color="auto" w:fill="FFFF00"/>
          </w:tcPr>
          <w:p w:rsidR="005B2E16" w:rsidRPr="00ED6DED" w:rsidRDefault="005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Burns Care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5B2E16" w:rsidRPr="00ED6DED" w:rsidRDefault="005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EMSB or equivalent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:rsidR="005B2E16" w:rsidRPr="00ED6DED" w:rsidRDefault="00550F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023708">
              <w:rPr>
                <w:rFonts w:cs="Arial"/>
                <w:sz w:val="22"/>
              </w:rPr>
              <w:t>Manages the unselected emergency take</w:t>
            </w:r>
          </w:p>
        </w:tc>
      </w:tr>
      <w:tr w:rsidR="005B2E16" w:rsidRPr="00ED6DED" w:rsidTr="00550F5A">
        <w:tc>
          <w:tcPr>
            <w:tcW w:w="2235" w:type="dxa"/>
            <w:gridSpan w:val="2"/>
            <w:shd w:val="clear" w:color="auto" w:fill="FFFF00"/>
          </w:tcPr>
          <w:p w:rsidR="005B2E16" w:rsidRPr="00ED6DED" w:rsidRDefault="005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Microsurgery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5B2E16" w:rsidRPr="00ED6DED" w:rsidRDefault="005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Microsurgery Course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:rsidR="005B2E16" w:rsidRDefault="00550F5A">
            <w:pPr>
              <w:rPr>
                <w:rFonts w:cs="Arial"/>
              </w:rPr>
            </w:pPr>
            <w:proofErr w:type="spellStart"/>
            <w:r>
              <w:rPr>
                <w:sz w:val="20"/>
                <w:szCs w:val="20"/>
              </w:rPr>
              <w:t>CiP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023708">
              <w:rPr>
                <w:rFonts w:cs="Arial"/>
                <w:sz w:val="22"/>
              </w:rPr>
              <w:t>Manages the unselected emergency take</w:t>
            </w:r>
          </w:p>
          <w:p w:rsidR="00550F5A" w:rsidRPr="00ED6DED" w:rsidRDefault="00550F5A">
            <w:pPr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</w:rPr>
              <w:t>CiP</w:t>
            </w:r>
            <w:proofErr w:type="spellEnd"/>
            <w:r>
              <w:rPr>
                <w:rFonts w:cs="Arial"/>
              </w:rPr>
              <w:t>: Manages an operating list</w:t>
            </w:r>
          </w:p>
        </w:tc>
      </w:tr>
      <w:tr w:rsidR="005B2E16" w:rsidRPr="00ED6DED" w:rsidTr="00550F5A">
        <w:tc>
          <w:tcPr>
            <w:tcW w:w="2235" w:type="dxa"/>
            <w:gridSpan w:val="2"/>
            <w:shd w:val="clear" w:color="auto" w:fill="FFFF00"/>
          </w:tcPr>
          <w:p w:rsidR="005B2E16" w:rsidRPr="00ED6DED" w:rsidRDefault="005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Hand Surgery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5B2E16" w:rsidRPr="00ED6DED" w:rsidRDefault="005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Hand Trauma Course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:rsidR="005B2E16" w:rsidRPr="00ED6DED" w:rsidRDefault="00550F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023708">
              <w:rPr>
                <w:rFonts w:cs="Arial"/>
                <w:sz w:val="22"/>
              </w:rPr>
              <w:t>Manages the unselected emergency take</w:t>
            </w:r>
          </w:p>
        </w:tc>
      </w:tr>
      <w:tr w:rsidR="001025F6" w:rsidRPr="00ED6DED" w:rsidTr="00CE1C8D">
        <w:tc>
          <w:tcPr>
            <w:tcW w:w="2235" w:type="dxa"/>
            <w:gridSpan w:val="2"/>
          </w:tcPr>
          <w:p w:rsidR="001025F6" w:rsidRPr="00ED6DED" w:rsidRDefault="001025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025F6" w:rsidRPr="00ED6DED" w:rsidRDefault="001025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025F6" w:rsidRPr="00ED6DED" w:rsidRDefault="001025F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025F6" w:rsidRPr="00ED6DED" w:rsidRDefault="001025F6">
            <w:pPr>
              <w:rPr>
                <w:sz w:val="20"/>
                <w:szCs w:val="20"/>
              </w:rPr>
            </w:pPr>
          </w:p>
        </w:tc>
      </w:tr>
      <w:tr w:rsidR="00BA5879" w:rsidRPr="00ED6DED" w:rsidTr="00CE1C8D">
        <w:tc>
          <w:tcPr>
            <w:tcW w:w="2235" w:type="dxa"/>
            <w:gridSpan w:val="2"/>
          </w:tcPr>
          <w:p w:rsidR="00BA5879" w:rsidRPr="00ED6DED" w:rsidRDefault="00BA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A5879" w:rsidRPr="00ED6DED" w:rsidRDefault="00BA5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A5879" w:rsidRPr="00ED6DED" w:rsidRDefault="00BA587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5879" w:rsidRPr="00ED6DED" w:rsidRDefault="00BA5879">
            <w:pPr>
              <w:rPr>
                <w:sz w:val="20"/>
                <w:szCs w:val="20"/>
              </w:rPr>
            </w:pPr>
          </w:p>
        </w:tc>
      </w:tr>
      <w:tr w:rsidR="001025F6" w:rsidRPr="00ED6DED" w:rsidTr="00CE1C8D">
        <w:tc>
          <w:tcPr>
            <w:tcW w:w="2235" w:type="dxa"/>
            <w:gridSpan w:val="2"/>
          </w:tcPr>
          <w:p w:rsidR="001025F6" w:rsidRPr="00ED6DED" w:rsidRDefault="001025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025F6" w:rsidRPr="00ED6DED" w:rsidRDefault="001025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025F6" w:rsidRPr="00ED6DED" w:rsidRDefault="001025F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025F6" w:rsidRPr="00ED6DED" w:rsidRDefault="001025F6">
            <w:pPr>
              <w:rPr>
                <w:sz w:val="20"/>
                <w:szCs w:val="20"/>
              </w:rPr>
            </w:pPr>
          </w:p>
        </w:tc>
      </w:tr>
      <w:tr w:rsidR="001025F6" w:rsidRPr="00ED6DED" w:rsidTr="00CE1C8D">
        <w:tc>
          <w:tcPr>
            <w:tcW w:w="2235" w:type="dxa"/>
            <w:gridSpan w:val="2"/>
          </w:tcPr>
          <w:p w:rsidR="001025F6" w:rsidRPr="00ED6DED" w:rsidRDefault="001025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025F6" w:rsidRPr="00ED6DED" w:rsidRDefault="001025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025F6" w:rsidRPr="00ED6DED" w:rsidRDefault="001025F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025F6" w:rsidRPr="00ED6DED" w:rsidRDefault="001025F6">
            <w:pPr>
              <w:rPr>
                <w:sz w:val="20"/>
                <w:szCs w:val="20"/>
              </w:rPr>
            </w:pPr>
          </w:p>
        </w:tc>
      </w:tr>
      <w:tr w:rsidR="005B2E16" w:rsidRPr="00ED6DED" w:rsidTr="00CE1C8D">
        <w:tc>
          <w:tcPr>
            <w:tcW w:w="9606" w:type="dxa"/>
            <w:gridSpan w:val="7"/>
            <w:shd w:val="clear" w:color="auto" w:fill="F2F2F2" w:themeFill="background1" w:themeFillShade="F2"/>
          </w:tcPr>
          <w:p w:rsidR="005B2E16" w:rsidRPr="00CE1C8D" w:rsidRDefault="005B2E16" w:rsidP="00F539D1">
            <w:pPr>
              <w:jc w:val="center"/>
              <w:rPr>
                <w:b/>
                <w:sz w:val="20"/>
                <w:szCs w:val="20"/>
              </w:rPr>
            </w:pPr>
            <w:r w:rsidRPr="00CE1C8D">
              <w:rPr>
                <w:b/>
                <w:sz w:val="20"/>
                <w:szCs w:val="20"/>
              </w:rPr>
              <w:t xml:space="preserve">Optional Courses </w:t>
            </w:r>
          </w:p>
          <w:p w:rsidR="005B2E16" w:rsidRPr="00ED6DED" w:rsidRDefault="005B2E16" w:rsidP="00ED6DED">
            <w:pPr>
              <w:jc w:val="center"/>
              <w:rPr>
                <w:sz w:val="20"/>
                <w:szCs w:val="20"/>
              </w:rPr>
            </w:pPr>
            <w:r w:rsidRPr="00ED6DED">
              <w:rPr>
                <w:sz w:val="20"/>
                <w:szCs w:val="20"/>
              </w:rPr>
              <w:t>For trainees undertaking special interest areas within the curriculum</w:t>
            </w:r>
          </w:p>
          <w:p w:rsidR="005B2E16" w:rsidRPr="00ED6DED" w:rsidRDefault="005B2E16" w:rsidP="00ED6DED">
            <w:pPr>
              <w:jc w:val="center"/>
              <w:rPr>
                <w:sz w:val="20"/>
                <w:szCs w:val="20"/>
              </w:rPr>
            </w:pPr>
            <w:r w:rsidRPr="00ED6DED">
              <w:rPr>
                <w:sz w:val="20"/>
                <w:szCs w:val="20"/>
              </w:rPr>
              <w:t>Not all course</w:t>
            </w:r>
            <w:r>
              <w:rPr>
                <w:sz w:val="20"/>
                <w:szCs w:val="20"/>
              </w:rPr>
              <w:t>s</w:t>
            </w:r>
            <w:r w:rsidRPr="00ED6DED">
              <w:rPr>
                <w:sz w:val="20"/>
                <w:szCs w:val="20"/>
              </w:rPr>
              <w:t xml:space="preserve"> in this section are required of all trainees</w:t>
            </w:r>
          </w:p>
          <w:p w:rsidR="005B2E16" w:rsidRPr="00ED6DED" w:rsidRDefault="005B2E16" w:rsidP="00F539D1">
            <w:pPr>
              <w:jc w:val="center"/>
              <w:rPr>
                <w:sz w:val="20"/>
                <w:szCs w:val="20"/>
              </w:rPr>
            </w:pPr>
            <w:r w:rsidRPr="00ED6DED">
              <w:rPr>
                <w:sz w:val="20"/>
                <w:szCs w:val="20"/>
              </w:rPr>
              <w:lastRenderedPageBreak/>
              <w:t xml:space="preserve">Will assist demonstration of </w:t>
            </w:r>
            <w:r>
              <w:rPr>
                <w:sz w:val="20"/>
                <w:szCs w:val="20"/>
              </w:rPr>
              <w:t xml:space="preserve">certain </w:t>
            </w:r>
            <w:r w:rsidRPr="00ED6DED">
              <w:rPr>
                <w:sz w:val="20"/>
                <w:szCs w:val="20"/>
              </w:rPr>
              <w:t>competenc</w:t>
            </w:r>
            <w:r>
              <w:rPr>
                <w:sz w:val="20"/>
                <w:szCs w:val="20"/>
              </w:rPr>
              <w:t>ies</w:t>
            </w:r>
          </w:p>
        </w:tc>
      </w:tr>
      <w:tr w:rsidR="005B2E16" w:rsidRPr="00ED6DED" w:rsidTr="00CE1C8D">
        <w:tc>
          <w:tcPr>
            <w:tcW w:w="2093" w:type="dxa"/>
            <w:shd w:val="clear" w:color="auto" w:fill="F2F2F2" w:themeFill="background1" w:themeFillShade="F2"/>
          </w:tcPr>
          <w:p w:rsidR="005B2E16" w:rsidRPr="00CE1C8D" w:rsidRDefault="005B2E16" w:rsidP="005B2E16">
            <w:pPr>
              <w:jc w:val="center"/>
              <w:rPr>
                <w:b/>
                <w:sz w:val="20"/>
                <w:szCs w:val="20"/>
              </w:rPr>
            </w:pPr>
            <w:r w:rsidRPr="00CE1C8D">
              <w:rPr>
                <w:b/>
                <w:sz w:val="20"/>
                <w:szCs w:val="20"/>
              </w:rPr>
              <w:lastRenderedPageBreak/>
              <w:t>Syllabus area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5B2E16" w:rsidRPr="00CE1C8D" w:rsidRDefault="005B2E16" w:rsidP="005B2E16">
            <w:pPr>
              <w:jc w:val="center"/>
              <w:rPr>
                <w:b/>
                <w:sz w:val="20"/>
                <w:szCs w:val="20"/>
              </w:rPr>
            </w:pPr>
            <w:r w:rsidRPr="00CE1C8D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5B2E16" w:rsidRPr="00CE1C8D" w:rsidRDefault="005B2E16" w:rsidP="005B2E16">
            <w:pPr>
              <w:jc w:val="center"/>
              <w:rPr>
                <w:b/>
                <w:sz w:val="20"/>
                <w:szCs w:val="20"/>
              </w:rPr>
            </w:pPr>
            <w:r w:rsidRPr="00CE1C8D"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5B2E16" w:rsidRPr="00CE1C8D" w:rsidRDefault="005B2E16" w:rsidP="005B2E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2E16" w:rsidRPr="00ED6DED" w:rsidTr="00CE1C8D">
        <w:tc>
          <w:tcPr>
            <w:tcW w:w="2093" w:type="dxa"/>
          </w:tcPr>
          <w:p w:rsidR="005B2E16" w:rsidRPr="00ED6DED" w:rsidRDefault="005B2E16">
            <w:pPr>
              <w:rPr>
                <w:sz w:val="20"/>
                <w:szCs w:val="20"/>
              </w:rPr>
            </w:pPr>
            <w:r w:rsidRPr="00ED6DED">
              <w:rPr>
                <w:sz w:val="20"/>
                <w:szCs w:val="20"/>
              </w:rPr>
              <w:t>Assessing research</w:t>
            </w:r>
          </w:p>
        </w:tc>
        <w:tc>
          <w:tcPr>
            <w:tcW w:w="2268" w:type="dxa"/>
            <w:gridSpan w:val="2"/>
          </w:tcPr>
          <w:p w:rsidR="005B2E16" w:rsidRPr="00ED6DED" w:rsidRDefault="00CE1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</w:t>
            </w:r>
            <w:r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gridSpan w:val="2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</w:tr>
      <w:tr w:rsidR="005B2E16" w:rsidRPr="00ED6DED" w:rsidTr="00550F5A">
        <w:tc>
          <w:tcPr>
            <w:tcW w:w="2093" w:type="dxa"/>
            <w:shd w:val="clear" w:color="auto" w:fill="FFFF00"/>
          </w:tcPr>
          <w:p w:rsidR="005B2E16" w:rsidRPr="00ED6DED" w:rsidRDefault="005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5B2E16" w:rsidRPr="00ED6DED" w:rsidRDefault="005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Flap Course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00"/>
          </w:tcPr>
          <w:p w:rsidR="005B2E16" w:rsidRPr="00ED6DED" w:rsidRDefault="00550F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</w:t>
            </w:r>
            <w:proofErr w:type="spellEnd"/>
            <w:r>
              <w:rPr>
                <w:sz w:val="20"/>
                <w:szCs w:val="20"/>
              </w:rPr>
              <w:t>: manages an operating list</w:t>
            </w:r>
          </w:p>
        </w:tc>
      </w:tr>
      <w:tr w:rsidR="005B2E16" w:rsidRPr="00ED6DED" w:rsidTr="00550F5A">
        <w:tc>
          <w:tcPr>
            <w:tcW w:w="2093" w:type="dxa"/>
            <w:shd w:val="clear" w:color="auto" w:fill="FFFF00"/>
          </w:tcPr>
          <w:p w:rsidR="005B2E16" w:rsidRPr="00ED6DED" w:rsidRDefault="005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5B2E16" w:rsidRPr="00ED6DED" w:rsidRDefault="005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BAPRAS Educational Course Series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00"/>
          </w:tcPr>
          <w:p w:rsidR="005B2E16" w:rsidRDefault="00550F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</w:t>
            </w:r>
            <w:proofErr w:type="spellEnd"/>
            <w:r>
              <w:rPr>
                <w:sz w:val="20"/>
                <w:szCs w:val="20"/>
              </w:rPr>
              <w:t>: manages an outpatient clinic</w:t>
            </w:r>
          </w:p>
          <w:p w:rsidR="00550F5A" w:rsidRDefault="00550F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</w:t>
            </w:r>
            <w:proofErr w:type="spellEnd"/>
            <w:r>
              <w:rPr>
                <w:sz w:val="20"/>
                <w:szCs w:val="20"/>
              </w:rPr>
              <w:t>: manages the unselected emergency take</w:t>
            </w:r>
          </w:p>
          <w:p w:rsidR="00550F5A" w:rsidRDefault="00550F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</w:t>
            </w:r>
            <w:proofErr w:type="spellEnd"/>
            <w:r>
              <w:rPr>
                <w:sz w:val="20"/>
                <w:szCs w:val="20"/>
              </w:rPr>
              <w:t xml:space="preserve">: manages the ward round and </w:t>
            </w:r>
            <w:proofErr w:type="spellStart"/>
            <w:r>
              <w:rPr>
                <w:sz w:val="20"/>
                <w:szCs w:val="20"/>
              </w:rPr>
              <w:t>ongoing</w:t>
            </w:r>
            <w:proofErr w:type="spellEnd"/>
            <w:r>
              <w:rPr>
                <w:sz w:val="20"/>
                <w:szCs w:val="20"/>
              </w:rPr>
              <w:t xml:space="preserve"> care of inpatients</w:t>
            </w:r>
          </w:p>
          <w:p w:rsidR="00550F5A" w:rsidRPr="00ED6DED" w:rsidRDefault="00550F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</w:t>
            </w:r>
            <w:proofErr w:type="spellEnd"/>
            <w:r>
              <w:rPr>
                <w:sz w:val="20"/>
                <w:szCs w:val="20"/>
              </w:rPr>
              <w:t>: manages an operating list</w:t>
            </w:r>
          </w:p>
        </w:tc>
      </w:tr>
      <w:tr w:rsidR="005B2E16" w:rsidRPr="00ED6DED" w:rsidTr="00550F5A">
        <w:tc>
          <w:tcPr>
            <w:tcW w:w="2093" w:type="dxa"/>
            <w:shd w:val="clear" w:color="auto" w:fill="FFFF00"/>
          </w:tcPr>
          <w:p w:rsidR="005B2E16" w:rsidRPr="00ED6DED" w:rsidRDefault="005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Surgery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5B2E16" w:rsidRPr="00ED6DED" w:rsidRDefault="005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BSSH Educational Course Series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00"/>
          </w:tcPr>
          <w:p w:rsidR="00550F5A" w:rsidRDefault="00550F5A" w:rsidP="00550F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</w:t>
            </w:r>
            <w:proofErr w:type="spellEnd"/>
            <w:r>
              <w:rPr>
                <w:sz w:val="20"/>
                <w:szCs w:val="20"/>
              </w:rPr>
              <w:t>: manages an outpatient clinic</w:t>
            </w:r>
          </w:p>
          <w:p w:rsidR="00550F5A" w:rsidRDefault="00550F5A" w:rsidP="00550F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</w:t>
            </w:r>
            <w:proofErr w:type="spellEnd"/>
            <w:r>
              <w:rPr>
                <w:sz w:val="20"/>
                <w:szCs w:val="20"/>
              </w:rPr>
              <w:t>: manages the unselected emergency take</w:t>
            </w:r>
          </w:p>
          <w:p w:rsidR="00550F5A" w:rsidRDefault="00550F5A" w:rsidP="00550F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</w:t>
            </w:r>
            <w:proofErr w:type="spellEnd"/>
            <w:r>
              <w:rPr>
                <w:sz w:val="20"/>
                <w:szCs w:val="20"/>
              </w:rPr>
              <w:t xml:space="preserve">: manages the ward round and </w:t>
            </w:r>
            <w:proofErr w:type="spellStart"/>
            <w:r>
              <w:rPr>
                <w:sz w:val="20"/>
                <w:szCs w:val="20"/>
              </w:rPr>
              <w:t>ongoing</w:t>
            </w:r>
            <w:proofErr w:type="spellEnd"/>
            <w:r>
              <w:rPr>
                <w:sz w:val="20"/>
                <w:szCs w:val="20"/>
              </w:rPr>
              <w:t xml:space="preserve"> care of inpatients</w:t>
            </w:r>
          </w:p>
          <w:p w:rsidR="005B2E16" w:rsidRPr="00ED6DED" w:rsidRDefault="00550F5A" w:rsidP="00550F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</w:t>
            </w:r>
            <w:proofErr w:type="spellEnd"/>
            <w:r>
              <w:rPr>
                <w:sz w:val="20"/>
                <w:szCs w:val="20"/>
              </w:rPr>
              <w:t>: manages an operating list</w:t>
            </w:r>
            <w:bookmarkStart w:id="0" w:name="_GoBack"/>
            <w:bookmarkEnd w:id="0"/>
          </w:p>
        </w:tc>
      </w:tr>
      <w:tr w:rsidR="005B2E16" w:rsidRPr="00ED6DED" w:rsidTr="00550F5A">
        <w:tc>
          <w:tcPr>
            <w:tcW w:w="2093" w:type="dxa"/>
            <w:shd w:val="clear" w:color="auto" w:fill="FFFF00"/>
          </w:tcPr>
          <w:p w:rsidR="005B2E16" w:rsidRPr="00ED6DED" w:rsidRDefault="005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Limb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5B2E16" w:rsidRPr="00ED6DED" w:rsidRDefault="005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Lower Limb Trauma Course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00"/>
          </w:tcPr>
          <w:p w:rsidR="005B2E16" w:rsidRPr="00ED6DED" w:rsidRDefault="00550F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rFonts w:cs="Arial"/>
              </w:rPr>
              <w:t>m</w:t>
            </w:r>
            <w:r w:rsidRPr="00023708">
              <w:rPr>
                <w:rFonts w:cs="Arial"/>
                <w:sz w:val="22"/>
              </w:rPr>
              <w:t>anages the unselected emergency take</w:t>
            </w:r>
          </w:p>
        </w:tc>
      </w:tr>
      <w:tr w:rsidR="00BA5879" w:rsidRPr="00ED6DED" w:rsidTr="00550F5A">
        <w:tc>
          <w:tcPr>
            <w:tcW w:w="2093" w:type="dxa"/>
            <w:shd w:val="clear" w:color="auto" w:fill="FFFF00"/>
          </w:tcPr>
          <w:p w:rsidR="00BA5879" w:rsidRPr="00ED6DED" w:rsidRDefault="005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Non-Surgical Skills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BA5879" w:rsidRPr="00ED6DED" w:rsidRDefault="005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NOTSS or equivalent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BA5879" w:rsidRPr="00ED6DED" w:rsidRDefault="00BA587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00"/>
          </w:tcPr>
          <w:p w:rsidR="00BA5879" w:rsidRDefault="00550F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</w:t>
            </w:r>
            <w:proofErr w:type="spellEnd"/>
            <w:r>
              <w:rPr>
                <w:sz w:val="20"/>
                <w:szCs w:val="20"/>
              </w:rPr>
              <w:t>: manages an outpatient clinic</w:t>
            </w:r>
          </w:p>
          <w:p w:rsidR="00550F5A" w:rsidRDefault="00550F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</w:t>
            </w:r>
            <w:proofErr w:type="spellEnd"/>
            <w:r>
              <w:rPr>
                <w:sz w:val="20"/>
                <w:szCs w:val="20"/>
              </w:rPr>
              <w:t xml:space="preserve">: manages ward rounds and the </w:t>
            </w:r>
            <w:proofErr w:type="spellStart"/>
            <w:r>
              <w:rPr>
                <w:sz w:val="20"/>
                <w:szCs w:val="20"/>
              </w:rPr>
              <w:t>ongoing</w:t>
            </w:r>
            <w:proofErr w:type="spellEnd"/>
            <w:r>
              <w:rPr>
                <w:sz w:val="20"/>
                <w:szCs w:val="20"/>
              </w:rPr>
              <w:t xml:space="preserve"> care of patients</w:t>
            </w:r>
          </w:p>
          <w:p w:rsidR="00550F5A" w:rsidRDefault="00550F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</w:t>
            </w:r>
            <w:proofErr w:type="spellEnd"/>
            <w:r>
              <w:rPr>
                <w:sz w:val="20"/>
                <w:szCs w:val="20"/>
              </w:rPr>
              <w:t>: manages an MDT</w:t>
            </w:r>
          </w:p>
          <w:p w:rsidR="00550F5A" w:rsidRDefault="00550F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</w:t>
            </w:r>
            <w:proofErr w:type="spellEnd"/>
            <w:r>
              <w:rPr>
                <w:sz w:val="20"/>
                <w:szCs w:val="20"/>
              </w:rPr>
              <w:t>: Leads, delivers and assesses patient safety and quality improvement</w:t>
            </w:r>
          </w:p>
          <w:p w:rsidR="00550F5A" w:rsidRDefault="00550F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</w:t>
            </w:r>
            <w:proofErr w:type="spellEnd"/>
            <w:r>
              <w:rPr>
                <w:sz w:val="20"/>
                <w:szCs w:val="20"/>
              </w:rPr>
              <w:t>: Performs as a supervising clinician</w:t>
            </w:r>
          </w:p>
          <w:p w:rsidR="00550F5A" w:rsidRPr="00ED6DED" w:rsidRDefault="00550F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</w:t>
            </w:r>
            <w:proofErr w:type="spellEnd"/>
            <w:r>
              <w:rPr>
                <w:sz w:val="20"/>
                <w:szCs w:val="20"/>
              </w:rPr>
              <w:t>: able to work effectively in the Health Service</w:t>
            </w:r>
          </w:p>
        </w:tc>
      </w:tr>
      <w:tr w:rsidR="001025F6" w:rsidRPr="00ED6DED" w:rsidTr="00CE1C8D">
        <w:tc>
          <w:tcPr>
            <w:tcW w:w="2093" w:type="dxa"/>
          </w:tcPr>
          <w:p w:rsidR="001025F6" w:rsidRPr="00ED6DED" w:rsidRDefault="001025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025F6" w:rsidRPr="00ED6DED" w:rsidRDefault="001025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025F6" w:rsidRPr="00ED6DED" w:rsidRDefault="001025F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1025F6" w:rsidRPr="00ED6DED" w:rsidRDefault="001025F6">
            <w:pPr>
              <w:rPr>
                <w:sz w:val="20"/>
                <w:szCs w:val="20"/>
              </w:rPr>
            </w:pPr>
          </w:p>
        </w:tc>
      </w:tr>
      <w:tr w:rsidR="001025F6" w:rsidRPr="00ED6DED" w:rsidTr="00CE1C8D">
        <w:tc>
          <w:tcPr>
            <w:tcW w:w="2093" w:type="dxa"/>
          </w:tcPr>
          <w:p w:rsidR="001025F6" w:rsidRPr="00ED6DED" w:rsidRDefault="001025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025F6" w:rsidRPr="00ED6DED" w:rsidRDefault="001025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025F6" w:rsidRPr="00ED6DED" w:rsidRDefault="001025F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1025F6" w:rsidRPr="00ED6DED" w:rsidRDefault="001025F6">
            <w:pPr>
              <w:rPr>
                <w:sz w:val="20"/>
                <w:szCs w:val="20"/>
              </w:rPr>
            </w:pPr>
          </w:p>
        </w:tc>
      </w:tr>
      <w:tr w:rsidR="005B2E16" w:rsidRPr="00ED6DED" w:rsidTr="00CE1C8D">
        <w:tc>
          <w:tcPr>
            <w:tcW w:w="9606" w:type="dxa"/>
            <w:gridSpan w:val="7"/>
            <w:shd w:val="clear" w:color="auto" w:fill="F2F2F2" w:themeFill="background1" w:themeFillShade="F2"/>
          </w:tcPr>
          <w:p w:rsidR="005B2E16" w:rsidRPr="00CE1C8D" w:rsidRDefault="005B2E16" w:rsidP="00ED6DED">
            <w:pPr>
              <w:jc w:val="center"/>
              <w:rPr>
                <w:b/>
                <w:sz w:val="20"/>
                <w:szCs w:val="20"/>
              </w:rPr>
            </w:pPr>
            <w:r w:rsidRPr="00CE1C8D">
              <w:rPr>
                <w:b/>
                <w:sz w:val="20"/>
                <w:szCs w:val="20"/>
              </w:rPr>
              <w:t>Aspirational Courses</w:t>
            </w:r>
          </w:p>
          <w:p w:rsidR="005B2E16" w:rsidRPr="00ED6DED" w:rsidRDefault="005B2E16" w:rsidP="00ED6DED">
            <w:pPr>
              <w:jc w:val="center"/>
              <w:rPr>
                <w:sz w:val="20"/>
                <w:szCs w:val="20"/>
              </w:rPr>
            </w:pPr>
            <w:r w:rsidRPr="00ED6DED">
              <w:rPr>
                <w:sz w:val="20"/>
                <w:szCs w:val="20"/>
              </w:rPr>
              <w:t>May not be directly related to the curriculum but would enhance global skills</w:t>
            </w:r>
          </w:p>
          <w:p w:rsidR="005B2E16" w:rsidRPr="00ED6DED" w:rsidRDefault="005B2E16" w:rsidP="00ED6DED">
            <w:pPr>
              <w:jc w:val="center"/>
              <w:rPr>
                <w:sz w:val="20"/>
                <w:szCs w:val="20"/>
              </w:rPr>
            </w:pPr>
            <w:r w:rsidRPr="00ED6DED">
              <w:rPr>
                <w:sz w:val="20"/>
                <w:szCs w:val="20"/>
              </w:rPr>
              <w:t>May be suitable for developing skills beyond curriculum requirements</w:t>
            </w:r>
          </w:p>
        </w:tc>
      </w:tr>
      <w:tr w:rsidR="005B2E16" w:rsidRPr="00ED6DED" w:rsidTr="00CE1C8D">
        <w:tc>
          <w:tcPr>
            <w:tcW w:w="2093" w:type="dxa"/>
            <w:shd w:val="clear" w:color="auto" w:fill="F2F2F2" w:themeFill="background1" w:themeFillShade="F2"/>
          </w:tcPr>
          <w:p w:rsidR="005B2E16" w:rsidRPr="00CE1C8D" w:rsidRDefault="005B2E16" w:rsidP="005B2E16">
            <w:pPr>
              <w:jc w:val="center"/>
              <w:rPr>
                <w:b/>
                <w:sz w:val="20"/>
                <w:szCs w:val="20"/>
              </w:rPr>
            </w:pPr>
            <w:r w:rsidRPr="00CE1C8D">
              <w:rPr>
                <w:b/>
                <w:sz w:val="20"/>
                <w:szCs w:val="20"/>
              </w:rPr>
              <w:t>Syllabus area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5B2E16" w:rsidRPr="00CE1C8D" w:rsidRDefault="005B2E16" w:rsidP="005B2E16">
            <w:pPr>
              <w:jc w:val="center"/>
              <w:rPr>
                <w:b/>
                <w:sz w:val="20"/>
                <w:szCs w:val="20"/>
              </w:rPr>
            </w:pPr>
            <w:r w:rsidRPr="00CE1C8D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5B2E16" w:rsidRPr="00CE1C8D" w:rsidRDefault="005B2E16" w:rsidP="005B2E16">
            <w:pPr>
              <w:jc w:val="center"/>
              <w:rPr>
                <w:b/>
                <w:sz w:val="20"/>
                <w:szCs w:val="20"/>
              </w:rPr>
            </w:pPr>
            <w:r w:rsidRPr="00CE1C8D"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5B2E16" w:rsidRPr="00CE1C8D" w:rsidRDefault="005B2E16" w:rsidP="005B2E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2E16" w:rsidRPr="00ED6DED" w:rsidTr="00CE1C8D">
        <w:tc>
          <w:tcPr>
            <w:tcW w:w="2093" w:type="dxa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</w:tr>
      <w:tr w:rsidR="005B2E16" w:rsidRPr="00ED6DED" w:rsidTr="00CE1C8D">
        <w:tc>
          <w:tcPr>
            <w:tcW w:w="2093" w:type="dxa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</w:tr>
      <w:tr w:rsidR="005B2E16" w:rsidRPr="00ED6DED" w:rsidTr="00CE1C8D">
        <w:tc>
          <w:tcPr>
            <w:tcW w:w="2093" w:type="dxa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</w:tr>
      <w:tr w:rsidR="005B2E16" w:rsidRPr="00ED6DED" w:rsidTr="00CE1C8D">
        <w:tc>
          <w:tcPr>
            <w:tcW w:w="2093" w:type="dxa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</w:tr>
      <w:tr w:rsidR="005B2E16" w:rsidRPr="00ED6DED" w:rsidTr="00CE1C8D">
        <w:tc>
          <w:tcPr>
            <w:tcW w:w="2093" w:type="dxa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</w:tr>
      <w:tr w:rsidR="005B2E16" w:rsidRPr="00ED6DED" w:rsidTr="00CE1C8D">
        <w:tc>
          <w:tcPr>
            <w:tcW w:w="2093" w:type="dxa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</w:tr>
      <w:tr w:rsidR="005B2E16" w:rsidRPr="00ED6DED" w:rsidTr="00CE1C8D">
        <w:tc>
          <w:tcPr>
            <w:tcW w:w="2093" w:type="dxa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5B2E16" w:rsidRPr="00ED6DED" w:rsidRDefault="005B2E16">
            <w:pPr>
              <w:rPr>
                <w:sz w:val="20"/>
                <w:szCs w:val="20"/>
              </w:rPr>
            </w:pPr>
          </w:p>
        </w:tc>
      </w:tr>
    </w:tbl>
    <w:p w:rsidR="00F539D1" w:rsidRDefault="00F539D1" w:rsidP="001025F6">
      <w:pPr>
        <w:rPr>
          <w:sz w:val="20"/>
          <w:szCs w:val="20"/>
        </w:rPr>
      </w:pPr>
    </w:p>
    <w:p w:rsidR="001025F6" w:rsidRPr="001025F6" w:rsidRDefault="001025F6" w:rsidP="001025F6">
      <w:pPr>
        <w:rPr>
          <w:b/>
          <w:sz w:val="20"/>
          <w:szCs w:val="20"/>
        </w:rPr>
      </w:pPr>
      <w:r w:rsidRPr="001025F6">
        <w:rPr>
          <w:b/>
          <w:sz w:val="20"/>
          <w:szCs w:val="20"/>
        </w:rPr>
        <w:t>Conference Attendance</w:t>
      </w:r>
    </w:p>
    <w:p w:rsidR="001025F6" w:rsidRPr="004A2393" w:rsidRDefault="001025F6" w:rsidP="001025F6">
      <w:pPr>
        <w:rPr>
          <w:sz w:val="20"/>
          <w:szCs w:val="20"/>
        </w:rPr>
      </w:pPr>
      <w:r>
        <w:rPr>
          <w:sz w:val="20"/>
          <w:szCs w:val="20"/>
        </w:rPr>
        <w:t>In addition to the courses listed above, the Certification Requirements in &lt;Specialty&gt; mandate attendance at a minimum of 4 national o</w:t>
      </w:r>
      <w:r w:rsidR="0026088C">
        <w:rPr>
          <w:sz w:val="20"/>
          <w:szCs w:val="20"/>
        </w:rPr>
        <w:t>r</w:t>
      </w:r>
      <w:r>
        <w:rPr>
          <w:sz w:val="20"/>
          <w:szCs w:val="20"/>
        </w:rPr>
        <w:t xml:space="preserve"> international conferences.</w:t>
      </w:r>
    </w:p>
    <w:sectPr w:rsidR="001025F6" w:rsidRPr="004A2393" w:rsidSect="005A753A">
      <w:pgSz w:w="11906" w:h="16838"/>
      <w:pgMar w:top="1077" w:right="1247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88" w:rsidRDefault="00AA5188" w:rsidP="00CE1C8D">
      <w:r>
        <w:separator/>
      </w:r>
    </w:p>
  </w:endnote>
  <w:endnote w:type="continuationSeparator" w:id="0">
    <w:p w:rsidR="00AA5188" w:rsidRDefault="00AA5188" w:rsidP="00CE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88" w:rsidRDefault="00AA5188" w:rsidP="00CE1C8D">
      <w:r>
        <w:separator/>
      </w:r>
    </w:p>
  </w:footnote>
  <w:footnote w:type="continuationSeparator" w:id="0">
    <w:p w:rsidR="00AA5188" w:rsidRDefault="00AA5188" w:rsidP="00CE1C8D">
      <w:r>
        <w:continuationSeparator/>
      </w:r>
    </w:p>
  </w:footnote>
  <w:footnote w:id="1">
    <w:p w:rsidR="00CE1C8D" w:rsidRDefault="00CE1C8D">
      <w:pPr>
        <w:pStyle w:val="FootnoteText"/>
      </w:pPr>
      <w:r>
        <w:rPr>
          <w:rStyle w:val="FootnoteReference"/>
        </w:rPr>
        <w:footnoteRef/>
      </w:r>
      <w:r>
        <w:t xml:space="preserve"> See Certification Requirements, Research section.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2DCD"/>
    <w:multiLevelType w:val="hybridMultilevel"/>
    <w:tmpl w:val="1AEE6226"/>
    <w:lvl w:ilvl="0" w:tplc="F362AA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B1D65"/>
    <w:multiLevelType w:val="hybridMultilevel"/>
    <w:tmpl w:val="60CCC8D8"/>
    <w:lvl w:ilvl="0" w:tplc="E01AD3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D1"/>
    <w:rsid w:val="001025F6"/>
    <w:rsid w:val="0026088C"/>
    <w:rsid w:val="003364DB"/>
    <w:rsid w:val="004A2393"/>
    <w:rsid w:val="004D1E87"/>
    <w:rsid w:val="00550F5A"/>
    <w:rsid w:val="005A753A"/>
    <w:rsid w:val="005B2E16"/>
    <w:rsid w:val="00611786"/>
    <w:rsid w:val="006B7DC2"/>
    <w:rsid w:val="00774C44"/>
    <w:rsid w:val="009F6B44"/>
    <w:rsid w:val="00AA5188"/>
    <w:rsid w:val="00BA5879"/>
    <w:rsid w:val="00BE4941"/>
    <w:rsid w:val="00BF1D5F"/>
    <w:rsid w:val="00C64E11"/>
    <w:rsid w:val="00C912A9"/>
    <w:rsid w:val="00CE1C8D"/>
    <w:rsid w:val="00D00035"/>
    <w:rsid w:val="00D27525"/>
    <w:rsid w:val="00D64AE2"/>
    <w:rsid w:val="00ED6DED"/>
    <w:rsid w:val="00F204CF"/>
    <w:rsid w:val="00F539D1"/>
    <w:rsid w:val="00F8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4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39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E1C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1C8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1C8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4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39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E1C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1C8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1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F55B-7CEC-244C-B217-9E4A741F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503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gdgriffiths</dc:creator>
  <cp:lastModifiedBy>Robert Winterton</cp:lastModifiedBy>
  <cp:revision>2</cp:revision>
  <dcterms:created xsi:type="dcterms:W3CDTF">2019-01-22T13:43:00Z</dcterms:created>
  <dcterms:modified xsi:type="dcterms:W3CDTF">2019-01-22T13:43:00Z</dcterms:modified>
</cp:coreProperties>
</file>